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3201"/>
        <w:gridCol w:w="3030"/>
        <w:gridCol w:w="2780"/>
      </w:tblGrid>
      <w:tr w:rsidR="00251272" w:rsidRPr="00251272" w14:paraId="7EBCBC65" w14:textId="77777777" w:rsidTr="00515F35">
        <w:trPr>
          <w:trHeight w:val="1353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65DD3" w14:textId="77777777" w:rsidR="001C0B5E" w:rsidRPr="00251272" w:rsidRDefault="001C0B5E" w:rsidP="001C0B5E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HİZMETİN ADI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A5066" w14:textId="77777777" w:rsidR="001C0B5E" w:rsidRPr="00251272" w:rsidRDefault="001C0B5E" w:rsidP="001773D1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NUMUNENİN KABULÜ</w:t>
            </w:r>
            <w:r w:rsidR="001645AC" w:rsidRPr="0025127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14:paraId="71EB56DB" w14:textId="77777777" w:rsidR="00D354EC" w:rsidRPr="00251272" w:rsidRDefault="00D354EC" w:rsidP="00D354EC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(Müdürlüğümüze gelen numunelerin aşağıdaki şartları sağlaması durumunda kabulü yapılır.)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00EC9" w14:textId="77777777" w:rsidR="001C0B5E" w:rsidRPr="00251272" w:rsidRDefault="001C0B5E" w:rsidP="001C0B5E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NUMUNENİN REDDİ</w:t>
            </w:r>
          </w:p>
          <w:p w14:paraId="21F41F58" w14:textId="77777777" w:rsidR="000D178D" w:rsidRPr="00251272" w:rsidRDefault="000D178D" w:rsidP="00D354EC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(Müdürlüğümüze</w:t>
            </w:r>
            <w:r w:rsidR="00D354EC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gelen numunelerin aşağıdaki durumlarda kabulü yapılmaz.)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vAlign w:val="center"/>
          </w:tcPr>
          <w:p w14:paraId="2D634338" w14:textId="77777777" w:rsidR="001C0B5E" w:rsidRPr="00251272" w:rsidRDefault="001C0B5E" w:rsidP="00D354EC">
            <w:pPr>
              <w:spacing w:after="15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b/>
                <w:sz w:val="18"/>
                <w:szCs w:val="18"/>
                <w:lang w:eastAsia="tr-TR"/>
              </w:rPr>
              <w:t>NUMUNENİN MUHAFAZ</w:t>
            </w:r>
            <w:r w:rsidR="001773D1" w:rsidRPr="00251272">
              <w:rPr>
                <w:rFonts w:ascii="Tahoma" w:eastAsia="Times New Roman" w:hAnsi="Tahoma" w:cs="Tahoma"/>
                <w:b/>
                <w:sz w:val="18"/>
                <w:szCs w:val="18"/>
                <w:lang w:eastAsia="tr-TR"/>
              </w:rPr>
              <w:t>A</w:t>
            </w:r>
            <w:r w:rsidRPr="00251272">
              <w:rPr>
                <w:rFonts w:ascii="Tahoma" w:eastAsia="Times New Roman" w:hAnsi="Tahoma" w:cs="Tahoma"/>
                <w:b/>
                <w:sz w:val="18"/>
                <w:szCs w:val="18"/>
                <w:lang w:eastAsia="tr-TR"/>
              </w:rPr>
              <w:t>SI, İADESİ VE İMHASI</w:t>
            </w:r>
          </w:p>
          <w:p w14:paraId="5416836D" w14:textId="77777777" w:rsidR="00D354EC" w:rsidRPr="00251272" w:rsidRDefault="00D354EC" w:rsidP="00D354EC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(Müdürlüğümüz tarafından kabul edilen numunelerin imha ve iadesi aşağıdaki şekilde yapılır.)</w:t>
            </w:r>
          </w:p>
        </w:tc>
      </w:tr>
      <w:tr w:rsidR="00251272" w:rsidRPr="00251272" w14:paraId="55E2C2F3" w14:textId="77777777" w:rsidTr="00515F35">
        <w:trPr>
          <w:trHeight w:val="3669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459B1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</w:t>
            </w:r>
          </w:p>
          <w:p w14:paraId="3B419D77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​</w:t>
            </w:r>
          </w:p>
          <w:p w14:paraId="5F42A09E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DENETİM NUMUNELERİNİN ANALİZİ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8A4B1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 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Resmi Yazı​​​ ile birlikte Numune Tutanağı/Numune Etiketi ve Naylon Ambalajda Mühürlü olarak en kısa sürede resmi kontrol görevlileri tarafından “Resmi Numune Alma Prosedürüne” uygun şekilde elden, kargo veya resmi kurye ile gönderilir.</w:t>
            </w:r>
          </w:p>
          <w:p w14:paraId="3E72E53B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 miktarı kontrol görevlisi tarafından belirlenir.</w:t>
            </w:r>
          </w:p>
          <w:p w14:paraId="58D0D47C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Resmi kontrol görevlileri tarafından getirilen denetim numunelerinden ücret 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alınmaz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(Yem fabrikaları, üretim izni numuneleri ücretlidir)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.</w:t>
            </w:r>
          </w:p>
          <w:p w14:paraId="5E7480E5" w14:textId="77777777" w:rsidR="002952DC" w:rsidRPr="00251272" w:rsidRDefault="002952DC" w:rsidP="00445DED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Soğuk zincir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l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e ulaştırılması gereken numunelerin sıcaklık kontrolü yapılır.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1C7F4" w14:textId="77777777" w:rsidR="002952DC" w:rsidRPr="00251272" w:rsidRDefault="002952DC" w:rsidP="00B04A59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Resmi Numune Alma Prosedürüne uygun olmayan numuneler.</w:t>
            </w:r>
          </w:p>
          <w:p w14:paraId="2BE0B1A9" w14:textId="77777777" w:rsidR="002952DC" w:rsidRPr="00251272" w:rsidRDefault="002952DC" w:rsidP="00B04A59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 alma tutanağı bilgileri ile fiziksel durumu uymayan numuneler.</w:t>
            </w:r>
          </w:p>
          <w:p w14:paraId="660C67F3" w14:textId="77777777" w:rsidR="002952DC" w:rsidRPr="00251272" w:rsidRDefault="002952DC" w:rsidP="00B04A59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Son kullanma tarihi geçmiş, mühürsüz, ambalajı yırtık, patlak, kırık v.b. numuneler.</w:t>
            </w:r>
          </w:p>
          <w:p w14:paraId="04FCC107" w14:textId="77777777" w:rsidR="002952DC" w:rsidRPr="00251272" w:rsidRDefault="002952DC" w:rsidP="00B04A59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Özel koşulları (soğuk zincir v.b.)</w:t>
            </w:r>
            <w:r w:rsidR="00B36D55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karşılamayan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ve analiz için yeterli miktarda olmayan numuneler.</w:t>
            </w:r>
          </w:p>
          <w:p w14:paraId="6F85E4A9" w14:textId="77777777" w:rsidR="002952DC" w:rsidRPr="00251272" w:rsidRDefault="003B4A6D" w:rsidP="00445DED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5</w:t>
            </w:r>
            <w:r w:rsidR="002952DC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. Mikrobiyolojik 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numuneler için gerekli şartları taşımayan</w:t>
            </w:r>
            <w:r w:rsidR="002952DC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numuneler.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0D4B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29E4F7A6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4FFD6974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47C3724A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300450FC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30A38DB1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0D7F9758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72DDCEDA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425570C4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62D3D483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</w:p>
          <w:p w14:paraId="738C801A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Müdürlüğümüz tarafından kabul edilen numunelerin imha ve iadesinin süresi dolana kadar uygun şartlarda muhafaza edilir.</w:t>
            </w:r>
          </w:p>
          <w:p w14:paraId="701B4F77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2. Talep edilmesi halinde analiz sonuçları uygun olan numunelerin kalan kısmı imza karşılığında firmaya iade edilir. </w:t>
            </w:r>
            <w:r w:rsidR="002E152F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Talep olmadığı durumlarda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numuneler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,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özelliğine uygun olarak en fazla 15 gün bekletilir. Süre bitiminde geri alınmayan numuneler imha edilir.</w:t>
            </w:r>
          </w:p>
          <w:p w14:paraId="62C48955" w14:textId="77777777" w:rsidR="002952DC" w:rsidRPr="00251272" w:rsidRDefault="002952DC" w:rsidP="00D11391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Analiz sonucu olumsuz çıkan numunelerin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(dondurulmuş, işlenmiş ürünler, tamamı analizde kullanılanlar v.b.) iadesi söz konusu değildir. Son kullanma tarihinden sonra imha edilirler.</w:t>
            </w:r>
          </w:p>
          <w:p w14:paraId="28D55A85" w14:textId="77777777" w:rsidR="00A845BB" w:rsidRDefault="002952DC" w:rsidP="00A845BB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Son kullanma ta</w:t>
            </w:r>
            <w:r w:rsidR="00A845BB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rihi dolmuş ürünler imha edilir.</w:t>
            </w:r>
          </w:p>
          <w:p w14:paraId="1BFE7596" w14:textId="77777777" w:rsidR="00A845BB" w:rsidRPr="00251272" w:rsidRDefault="00A845BB" w:rsidP="00A845BB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6848DA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5. Cumhuriyet Savcılıkları tarafından gönderilen numuneler 30 gün içerisinde teslim alınmaması</w:t>
            </w:r>
            <w:r w:rsidR="00900CDA" w:rsidRPr="006848DA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durumunda imha edilir. Bu durum</w:t>
            </w:r>
            <w:r w:rsidRPr="006848DA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analiz raporunun eklendiği üst yazıda</w:t>
            </w:r>
            <w:r w:rsidR="00900CDA" w:rsidRPr="006848DA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ayrıca</w:t>
            </w:r>
            <w:r w:rsidRPr="006848DA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bildirilir.</w:t>
            </w:r>
          </w:p>
          <w:p w14:paraId="0BF1CA18" w14:textId="77777777" w:rsidR="002952DC" w:rsidRPr="00251272" w:rsidRDefault="002952DC" w:rsidP="00D354EC">
            <w:pPr>
              <w:spacing w:after="150" w:line="420" w:lineRule="atLeas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51272" w:rsidRPr="00251272" w14:paraId="71A8BEA6" w14:textId="77777777" w:rsidTr="00515F35"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DC202" w14:textId="77777777" w:rsidR="002952DC" w:rsidRPr="00251272" w:rsidRDefault="002952DC" w:rsidP="00241C2A">
            <w:pPr>
              <w:spacing w:after="150" w:line="42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</w:t>
            </w:r>
          </w:p>
          <w:p w14:paraId="62E8CFD8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</w:t>
            </w:r>
          </w:p>
          <w:p w14:paraId="187A7AE5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İTHALAT, İHRACAT NUMUNELERİNİN ANALİZİ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96C79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Resmi Yazı​​​ ile birlikte Numune Tutanağı/Numune Etiketi ve Naylon Ambalajda Mühürlü olarak en kısa sürede resmi kontrol görevlileri tarafından elden, kargo veya resmi kurye ile gönderilir.</w:t>
            </w:r>
          </w:p>
          <w:p w14:paraId="23532A29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 miktarı kontrol görevlisi tarafından belirlenir.</w:t>
            </w:r>
          </w:p>
          <w:p w14:paraId="48853651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Analiz ücreti,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Döner Sermaye Saymanlığına yatırıl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ır.</w:t>
            </w:r>
          </w:p>
          <w:p w14:paraId="3981AFF2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 Soğuk zincirde ulaştırılması gereken numunelerin sıcaklık kontrolü yapılır.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7ADAE" w14:textId="77777777" w:rsidR="002952DC" w:rsidRPr="00251272" w:rsidRDefault="002952DC" w:rsidP="009E373D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 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Resmi Numune Alma Prosedürüne uygun olmayan numuneler.</w:t>
            </w:r>
          </w:p>
          <w:p w14:paraId="3BDED317" w14:textId="77777777" w:rsidR="002952DC" w:rsidRPr="00251272" w:rsidRDefault="002952DC" w:rsidP="009E373D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 alma tutanağı bilgileri ile fiziksel durumu uymayan numuneler.</w:t>
            </w:r>
          </w:p>
          <w:p w14:paraId="6E54DBE4" w14:textId="77777777" w:rsidR="002952DC" w:rsidRPr="00251272" w:rsidRDefault="002952DC" w:rsidP="009E373D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Son kullanma tarihi geçmiş, mühürsüz, ambalajı yırtık, patlak, kırık v.b. numuneler.</w:t>
            </w:r>
          </w:p>
          <w:p w14:paraId="48849F0E" w14:textId="77777777" w:rsidR="002952DC" w:rsidRPr="00251272" w:rsidRDefault="002952DC" w:rsidP="009E373D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Özel koşulları olan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(soğuk zincir v.b.) ve analiz için yeterli miktarda olmayan numuneler.</w:t>
            </w:r>
          </w:p>
          <w:p w14:paraId="22D6C536" w14:textId="77777777" w:rsidR="002952DC" w:rsidRPr="00251272" w:rsidRDefault="003B4A6D" w:rsidP="009E373D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5</w:t>
            </w:r>
            <w:r w:rsidR="002952DC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. 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Mikrobiyolojik numuneler için gerekli şartları taşımayan numuneler.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7C64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51272" w:rsidRPr="00251272" w14:paraId="53B3E1BE" w14:textId="77777777" w:rsidTr="00515F35">
        <w:trPr>
          <w:trHeight w:val="649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6DA97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 </w:t>
            </w:r>
          </w:p>
          <w:p w14:paraId="291CCF77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514FBE67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7B485BC4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ÖZEL İSTEK NUMUNELERİNİN ANALİZİ</w:t>
            </w:r>
          </w:p>
          <w:p w14:paraId="21F5730E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604B9582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4EB3899F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58B37A18" w14:textId="77777777" w:rsidR="002952DC" w:rsidRPr="00251272" w:rsidRDefault="002952DC" w:rsidP="0075564B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FC2AE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lastRenderedPageBreak/>
              <w:t>1.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Numuneyi tanımlayan, istenen analizlerin belirtildiği firma/şahıs yazısı vey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 kurum tarafından doldurulacak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A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n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aliz Talep Dilekçesi.</w:t>
            </w:r>
          </w:p>
          <w:p w14:paraId="0CBC96DC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 Numune posta, kargo veya elden teslim edilebilir.</w:t>
            </w:r>
          </w:p>
          <w:p w14:paraId="39F41CF6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Numune miktarı istenilen analiz sayısına ve analiz cinsine göre farklılık göstermekle birlikte katı numunelerde en az </w:t>
            </w:r>
            <w:r w:rsidR="001526E0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25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0gr, sıvı numunelerde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en az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="001526E0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25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0ml olmalıdır. </w:t>
            </w:r>
          </w:p>
          <w:p w14:paraId="6507D531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Mikrobiyolojik numunelerin mutlaka steril ambalajlarda ve en kısa sürede laboratuvar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getirilmesi gerekir. Gerektiği durumlarda Numune Kabul ve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lastRenderedPageBreak/>
              <w:t>Rapor Düzenleme Biriminden bilgi alınabilir.</w:t>
            </w:r>
          </w:p>
          <w:p w14:paraId="788AB21B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5.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Analiz ücretinin Döner Sermaye Saymanlığına yatırılması.</w:t>
            </w:r>
          </w:p>
          <w:p w14:paraId="7BDFB8EE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6.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Soğuk zincirde ulaştırılması gereken numunelerin sıcaklık kontrolü yapılır.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67DDE" w14:textId="77777777" w:rsidR="002952DC" w:rsidRPr="00251272" w:rsidRDefault="002952DC" w:rsidP="001323E2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lastRenderedPageBreak/>
              <w:t>1. Son kullanma tarihi geçmiş, ambalajı yırtık, patlak, kırık v.b. numuneler.</w:t>
            </w:r>
          </w:p>
          <w:p w14:paraId="69D78DC7" w14:textId="77777777" w:rsidR="002952DC" w:rsidRPr="00251272" w:rsidRDefault="002952DC" w:rsidP="001323E2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 Özel koşulları olan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(soğuk zincir v.b.) ve analiz için yeterli miktarda olmayan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,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bütünlüğü bozulmuş  numuneler.</w:t>
            </w:r>
          </w:p>
          <w:p w14:paraId="0D670D39" w14:textId="77777777" w:rsidR="002952DC" w:rsidRPr="00251272" w:rsidRDefault="002952DC" w:rsidP="001323E2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Açılıp kullanılmış numuneler.</w:t>
            </w:r>
          </w:p>
          <w:p w14:paraId="4572F5D6" w14:textId="77777777" w:rsidR="002952DC" w:rsidRPr="00251272" w:rsidRDefault="002952DC" w:rsidP="001323E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4. 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Mikrobiyolojik numuneler için gerekli şartları taşımayan numuneler.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DDA12" w14:textId="77777777" w:rsidR="002952DC" w:rsidRPr="00251272" w:rsidRDefault="002952DC" w:rsidP="0075564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51272" w:rsidRPr="00251272" w14:paraId="3A30334D" w14:textId="77777777" w:rsidTr="00515F35"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823DF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02B4E06E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70129B33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14D8D90F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251272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RESMİ İSTEK NUMUNELERİNİN ANALİZİ</w:t>
            </w:r>
          </w:p>
        </w:tc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BE3A6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 </w:t>
            </w:r>
            <w:r w:rsidRPr="00251272">
              <w:rPr>
                <w:rFonts w:ascii="Tahoma" w:hAnsi="Tahoma" w:cs="Tahoma"/>
                <w:sz w:val="18"/>
                <w:szCs w:val="18"/>
              </w:rPr>
              <w:t>1.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1272">
              <w:rPr>
                <w:rFonts w:ascii="Tahoma" w:hAnsi="Tahoma" w:cs="Tahoma"/>
                <w:sz w:val="18"/>
                <w:szCs w:val="18"/>
              </w:rPr>
              <w:t>Analiz Talep Dilekçesi veya Resmi Kuruma ait Yazı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92930EC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1272">
              <w:rPr>
                <w:rFonts w:ascii="Tahoma" w:hAnsi="Tahoma" w:cs="Tahoma"/>
                <w:sz w:val="18"/>
                <w:szCs w:val="18"/>
              </w:rPr>
              <w:t>2.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1272">
              <w:rPr>
                <w:rFonts w:ascii="Tahoma" w:hAnsi="Tahoma" w:cs="Tahoma"/>
                <w:sz w:val="18"/>
                <w:szCs w:val="18"/>
              </w:rPr>
              <w:t>Posta, kargo veya elden teslim edilebilir.</w:t>
            </w:r>
          </w:p>
          <w:p w14:paraId="0C468A81" w14:textId="77777777" w:rsidR="002952DC" w:rsidRPr="00251272" w:rsidRDefault="002952DC" w:rsidP="00323E28">
            <w:pPr>
              <w:spacing w:after="15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1272">
              <w:rPr>
                <w:rFonts w:ascii="Tahoma" w:hAnsi="Tahoma" w:cs="Tahoma"/>
                <w:sz w:val="18"/>
                <w:szCs w:val="18"/>
              </w:rPr>
              <w:t>3.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6877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Numune miktarı istenilen analiz sayısına ve analiz cinsine göre farklılık göstermekle birlikte katı numunelerde en az </w:t>
            </w:r>
            <w:r w:rsidR="00C86877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25</w:t>
            </w:r>
            <w:r w:rsidR="00C86877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0gr, sıvı numunelerde en az </w:t>
            </w:r>
            <w:r w:rsidR="00C86877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25</w:t>
            </w:r>
            <w:r w:rsidR="00C86877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0ml olmalıdır. </w:t>
            </w:r>
            <w:r w:rsidRPr="0025127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93C3642" w14:textId="77777777" w:rsidR="002952DC" w:rsidRPr="00251272" w:rsidRDefault="002952DC" w:rsidP="00695290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hAnsi="Tahoma" w:cs="Tahoma"/>
                <w:sz w:val="18"/>
                <w:szCs w:val="18"/>
              </w:rPr>
              <w:t>4.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1272">
              <w:rPr>
                <w:rFonts w:ascii="Tahoma" w:hAnsi="Tahoma" w:cs="Tahoma"/>
                <w:sz w:val="18"/>
                <w:szCs w:val="18"/>
              </w:rPr>
              <w:t>Analiz ücretinin Döner Sermaye Saymanlığına yatırılması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</w:t>
            </w:r>
            <w:r w:rsidRPr="00251272">
              <w:rPr>
                <w:rFonts w:ascii="Tahoma" w:hAnsi="Tahoma" w:cs="Tahoma"/>
                <w:sz w:val="18"/>
                <w:szCs w:val="18"/>
              </w:rPr>
              <w:t>Mahkemeler aracı</w:t>
            </w:r>
            <w:r w:rsidR="00695290" w:rsidRPr="00251272">
              <w:rPr>
                <w:rFonts w:ascii="Tahoma" w:hAnsi="Tahoma" w:cs="Tahoma"/>
                <w:sz w:val="18"/>
                <w:szCs w:val="18"/>
              </w:rPr>
              <w:t>l</w:t>
            </w:r>
            <w:r w:rsidRPr="00251272">
              <w:rPr>
                <w:rFonts w:ascii="Tahoma" w:hAnsi="Tahoma" w:cs="Tahoma"/>
                <w:sz w:val="18"/>
                <w:szCs w:val="18"/>
              </w:rPr>
              <w:t>ığı ile gelen numunelerin analiz ücretleri yatırılmasa bile numune analize alınır ve raporlar ücretin yatırılması sonucu teslim edilir.)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A28B6" w14:textId="77777777" w:rsidR="002952DC" w:rsidRPr="00251272" w:rsidRDefault="002952DC" w:rsidP="00FC7CFC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1.Son kullanma tarihi geçmiş, ambalajı yırtık, patlak, kırık v.b. numuneler.</w:t>
            </w:r>
          </w:p>
          <w:p w14:paraId="48F8CACC" w14:textId="77777777" w:rsidR="002952DC" w:rsidRPr="00251272" w:rsidRDefault="002952DC" w:rsidP="00FC7CFC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2.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Özel koşulları olan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(soğuk zincir v.b.) ve analiz için yeterli miktarda olmayan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,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bütünlüğü bozulmuş numuneler.</w:t>
            </w:r>
          </w:p>
          <w:p w14:paraId="0B88D78B" w14:textId="77777777" w:rsidR="002952DC" w:rsidRPr="00251272" w:rsidRDefault="002952DC" w:rsidP="00FC7CFC">
            <w:pPr>
              <w:spacing w:after="15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3.</w:t>
            </w:r>
            <w:r w:rsidR="00695290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</w:t>
            </w: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Açılıp kullanılmış numuneler.</w:t>
            </w:r>
          </w:p>
          <w:p w14:paraId="1BC1A466" w14:textId="77777777" w:rsidR="002952DC" w:rsidRPr="00251272" w:rsidRDefault="002952DC" w:rsidP="00610018">
            <w:pPr>
              <w:spacing w:after="150" w:line="276" w:lineRule="auto"/>
              <w:jc w:val="both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>4.</w:t>
            </w:r>
            <w:r w:rsidR="00445DED" w:rsidRPr="00251272">
              <w:rPr>
                <w:rFonts w:ascii="Tahoma" w:eastAsia="Times New Roman" w:hAnsi="Tahoma" w:cs="Tahoma"/>
                <w:sz w:val="18"/>
                <w:szCs w:val="18"/>
                <w:lang w:eastAsia="tr-TR"/>
              </w:rPr>
              <w:t xml:space="preserve"> Mikrobiyolojik numuneler için gerekli şartları taşımayan numuneler.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CC99AB" w14:textId="77777777" w:rsidR="002952DC" w:rsidRPr="00251272" w:rsidRDefault="002952DC" w:rsidP="00241C2A">
            <w:pPr>
              <w:spacing w:after="150" w:line="420" w:lineRule="atLeast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</w:tbl>
    <w:p w14:paraId="662CE650" w14:textId="77777777" w:rsidR="006848DA" w:rsidRDefault="00241C2A" w:rsidP="006848DA">
      <w:pPr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241C2A">
        <w:rPr>
          <w:rFonts w:ascii="Segoe UI" w:eastAsia="Times New Roman" w:hAnsi="Segoe UI" w:cs="Segoe UI"/>
          <w:color w:val="808080"/>
          <w:sz w:val="18"/>
          <w:szCs w:val="18"/>
          <w:lang w:eastAsia="tr-TR"/>
        </w:rPr>
        <w:t> </w:t>
      </w:r>
      <w:r w:rsidR="00FB51B5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Bilgi için; </w:t>
      </w:r>
    </w:p>
    <w:p w14:paraId="638C86FE" w14:textId="469C1970" w:rsidR="00695290" w:rsidRDefault="006848DA" w:rsidP="006848DA">
      <w:pPr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</w:t>
      </w:r>
      <w:r w:rsidR="00F2665F">
        <w:rPr>
          <w:rFonts w:ascii="Tahoma" w:eastAsia="Times New Roman" w:hAnsi="Tahoma" w:cs="Tahoma"/>
          <w:sz w:val="20"/>
          <w:szCs w:val="20"/>
          <w:lang w:eastAsia="tr-TR"/>
        </w:rPr>
        <w:t xml:space="preserve">  </w:t>
      </w:r>
      <w:r w:rsidR="007A6C02">
        <w:rPr>
          <w:rFonts w:ascii="Tahoma" w:eastAsia="Times New Roman" w:hAnsi="Tahoma" w:cs="Tahoma"/>
          <w:sz w:val="20"/>
          <w:szCs w:val="20"/>
          <w:lang w:eastAsia="tr-TR"/>
        </w:rPr>
        <w:t>Ersin ERHAL</w:t>
      </w:r>
      <w:r w:rsidR="00FB51B5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      </w:t>
      </w:r>
      <w:r w:rsidR="00251272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</w:t>
      </w:r>
      <w:r w:rsidR="007A6C02">
        <w:rPr>
          <w:rFonts w:ascii="Tahoma" w:eastAsia="Times New Roman" w:hAnsi="Tahoma" w:cs="Tahoma"/>
          <w:sz w:val="20"/>
          <w:szCs w:val="20"/>
          <w:lang w:eastAsia="tr-TR"/>
        </w:rPr>
        <w:t xml:space="preserve">   Fatih YILDIRIM</w:t>
      </w:r>
    </w:p>
    <w:p w14:paraId="2123A8C0" w14:textId="77777777" w:rsidR="006848DA" w:rsidRDefault="006848DA" w:rsidP="006848DA">
      <w:pPr>
        <w:tabs>
          <w:tab w:val="left" w:pos="634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>
        <w:rPr>
          <w:rFonts w:ascii="Tahoma" w:eastAsia="Times New Roman" w:hAnsi="Tahoma" w:cs="Tahoma"/>
          <w:sz w:val="20"/>
          <w:szCs w:val="20"/>
          <w:lang w:eastAsia="tr-TR"/>
        </w:rPr>
        <w:t xml:space="preserve">  Numune Kabul ve Rapor Düzenleme</w:t>
      </w:r>
      <w:r>
        <w:rPr>
          <w:rFonts w:ascii="Tahoma" w:eastAsia="Times New Roman" w:hAnsi="Tahoma" w:cs="Tahoma"/>
          <w:sz w:val="20"/>
          <w:szCs w:val="20"/>
          <w:lang w:eastAsia="tr-TR"/>
        </w:rPr>
        <w:tab/>
        <w:t>Müdür</w:t>
      </w:r>
    </w:p>
    <w:p w14:paraId="700D857E" w14:textId="486D41D1" w:rsidR="006848DA" w:rsidRDefault="006848DA" w:rsidP="006848DA">
      <w:pPr>
        <w:tabs>
          <w:tab w:val="left" w:pos="6345"/>
        </w:tabs>
        <w:spacing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>
        <w:rPr>
          <w:rFonts w:ascii="Tahoma" w:eastAsia="Times New Roman" w:hAnsi="Tahoma" w:cs="Tahoma"/>
          <w:sz w:val="20"/>
          <w:szCs w:val="20"/>
          <w:lang w:eastAsia="tr-TR"/>
        </w:rPr>
        <w:t xml:space="preserve">          </w:t>
      </w:r>
      <w:r w:rsidR="00F8193A">
        <w:rPr>
          <w:rFonts w:ascii="Tahoma" w:eastAsia="Times New Roman" w:hAnsi="Tahoma" w:cs="Tahoma"/>
          <w:sz w:val="20"/>
          <w:szCs w:val="20"/>
          <w:lang w:eastAsia="tr-TR"/>
        </w:rPr>
        <w:t xml:space="preserve">     </w:t>
      </w:r>
      <w:r>
        <w:rPr>
          <w:rFonts w:ascii="Tahoma" w:eastAsia="Times New Roman" w:hAnsi="Tahoma" w:cs="Tahoma"/>
          <w:sz w:val="20"/>
          <w:szCs w:val="20"/>
          <w:lang w:eastAsia="tr-TR"/>
        </w:rPr>
        <w:t>Birim Sorumlusu</w:t>
      </w:r>
    </w:p>
    <w:p w14:paraId="51C7385F" w14:textId="77777777" w:rsidR="00912DF5" w:rsidRPr="00251272" w:rsidRDefault="00912DF5" w:rsidP="006848DA">
      <w:pPr>
        <w:tabs>
          <w:tab w:val="left" w:pos="6345"/>
        </w:tabs>
        <w:spacing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</w:p>
    <w:p w14:paraId="62CA6941" w14:textId="77777777" w:rsidR="00241C2A" w:rsidRPr="00251272" w:rsidRDefault="002952DC" w:rsidP="00FB51B5">
      <w:pPr>
        <w:tabs>
          <w:tab w:val="center" w:pos="5358"/>
        </w:tabs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Tel: </w:t>
      </w:r>
      <w:r w:rsidR="00241C2A" w:rsidRPr="00251272">
        <w:rPr>
          <w:rFonts w:ascii="Tahoma" w:eastAsia="Times New Roman" w:hAnsi="Tahoma" w:cs="Tahoma"/>
          <w:sz w:val="20"/>
          <w:szCs w:val="20"/>
          <w:lang w:eastAsia="tr-TR"/>
        </w:rPr>
        <w:t>0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="00912DF5">
        <w:rPr>
          <w:rFonts w:ascii="Tahoma" w:eastAsia="Times New Roman" w:hAnsi="Tahoma" w:cs="Tahoma"/>
          <w:sz w:val="20"/>
          <w:szCs w:val="20"/>
          <w:lang w:eastAsia="tr-TR"/>
        </w:rPr>
        <w:t>454 2150097/135</w:t>
      </w:r>
      <w:r w:rsidR="00FB51B5" w:rsidRPr="00251272">
        <w:rPr>
          <w:rFonts w:ascii="Tahoma" w:eastAsia="Times New Roman" w:hAnsi="Tahoma" w:cs="Tahoma"/>
          <w:sz w:val="20"/>
          <w:szCs w:val="20"/>
          <w:lang w:eastAsia="tr-TR"/>
        </w:rPr>
        <w:tab/>
        <w:t xml:space="preserve">            </w:t>
      </w:r>
      <w:r w:rsidR="00695290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</w:t>
      </w:r>
      <w:r w:rsidR="00912DF5">
        <w:rPr>
          <w:rFonts w:ascii="Tahoma" w:eastAsia="Times New Roman" w:hAnsi="Tahoma" w:cs="Tahoma"/>
          <w:sz w:val="20"/>
          <w:szCs w:val="20"/>
          <w:lang w:eastAsia="tr-TR"/>
        </w:rPr>
        <w:t xml:space="preserve">  </w:t>
      </w:r>
      <w:r w:rsidR="00FB51B5" w:rsidRPr="00251272">
        <w:rPr>
          <w:rFonts w:ascii="Tahoma" w:eastAsia="Times New Roman" w:hAnsi="Tahoma" w:cs="Tahoma"/>
          <w:sz w:val="20"/>
          <w:szCs w:val="20"/>
          <w:lang w:eastAsia="tr-TR"/>
        </w:rPr>
        <w:t>Tel: 0 454 2150096</w:t>
      </w:r>
    </w:p>
    <w:p w14:paraId="0A34CD2A" w14:textId="77777777" w:rsidR="00241C2A" w:rsidRDefault="00241C2A" w:rsidP="00FB51B5">
      <w:pPr>
        <w:tabs>
          <w:tab w:val="center" w:pos="5358"/>
        </w:tabs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Faks: </w:t>
      </w:r>
      <w:r w:rsidR="002952DC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>0</w:t>
      </w:r>
      <w:r w:rsidR="002952DC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>454 2154440</w:t>
      </w:r>
      <w:r w:rsidR="00FB51B5" w:rsidRPr="00251272">
        <w:rPr>
          <w:rFonts w:ascii="Tahoma" w:eastAsia="Times New Roman" w:hAnsi="Tahoma" w:cs="Tahoma"/>
          <w:sz w:val="20"/>
          <w:szCs w:val="20"/>
          <w:lang w:eastAsia="tr-TR"/>
        </w:rPr>
        <w:tab/>
        <w:t xml:space="preserve">                                               Faks:  0 454 2154440</w:t>
      </w:r>
    </w:p>
    <w:p w14:paraId="26AF82FA" w14:textId="77777777" w:rsidR="002467D5" w:rsidRPr="00251272" w:rsidRDefault="002467D5" w:rsidP="00FB51B5">
      <w:pPr>
        <w:tabs>
          <w:tab w:val="center" w:pos="5358"/>
        </w:tabs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</w:p>
    <w:p w14:paraId="36406592" w14:textId="77777777" w:rsidR="00241C2A" w:rsidRPr="00251272" w:rsidRDefault="00FB51B5" w:rsidP="00241C2A">
      <w:pPr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      </w:t>
      </w:r>
      <w:r w:rsidR="00241C2A" w:rsidRPr="00251272">
        <w:rPr>
          <w:rFonts w:ascii="Tahoma" w:eastAsia="Times New Roman" w:hAnsi="Tahoma" w:cs="Tahoma"/>
          <w:sz w:val="20"/>
          <w:szCs w:val="20"/>
          <w:lang w:eastAsia="tr-TR"/>
        </w:rPr>
        <w:t>Adres: Giresun Gıda Kontrol Laboratuvar Müdürlüğü​</w:t>
      </w:r>
    </w:p>
    <w:p w14:paraId="5F856715" w14:textId="77777777" w:rsidR="00FB51B5" w:rsidRPr="00251272" w:rsidRDefault="00FB51B5" w:rsidP="00241C2A">
      <w:pPr>
        <w:spacing w:after="150" w:line="420" w:lineRule="atLeast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                                    Teyyaredüzü </w:t>
      </w:r>
      <w:r w:rsidR="00695290" w:rsidRPr="00251272">
        <w:rPr>
          <w:rFonts w:ascii="Tahoma" w:eastAsia="Times New Roman" w:hAnsi="Tahoma" w:cs="Tahoma"/>
          <w:sz w:val="20"/>
          <w:szCs w:val="20"/>
          <w:lang w:eastAsia="tr-TR"/>
        </w:rPr>
        <w:t>M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>ahallesi Atatürk Bulvarı No:</w:t>
      </w:r>
      <w:r w:rsidR="00695290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 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371 </w:t>
      </w:r>
      <w:r w:rsidR="00695290" w:rsidRPr="00251272">
        <w:rPr>
          <w:rFonts w:ascii="Tahoma" w:eastAsia="Times New Roman" w:hAnsi="Tahoma" w:cs="Tahoma"/>
          <w:sz w:val="20"/>
          <w:szCs w:val="20"/>
          <w:lang w:eastAsia="tr-TR"/>
        </w:rPr>
        <w:t xml:space="preserve">28200 </w:t>
      </w:r>
      <w:r w:rsidRPr="00251272">
        <w:rPr>
          <w:rFonts w:ascii="Tahoma" w:eastAsia="Times New Roman" w:hAnsi="Tahoma" w:cs="Tahoma"/>
          <w:sz w:val="20"/>
          <w:szCs w:val="20"/>
          <w:lang w:eastAsia="tr-TR"/>
        </w:rPr>
        <w:t>Merkez/GİRESUN</w:t>
      </w:r>
    </w:p>
    <w:p w14:paraId="1BD070B1" w14:textId="77777777" w:rsidR="00855D8E" w:rsidRPr="00251272" w:rsidRDefault="00855D8E">
      <w:pPr>
        <w:rPr>
          <w:rFonts w:ascii="Tahoma" w:hAnsi="Tahoma" w:cs="Tahoma"/>
          <w:sz w:val="20"/>
          <w:szCs w:val="20"/>
        </w:rPr>
      </w:pPr>
    </w:p>
    <w:sectPr w:rsidR="00855D8E" w:rsidRPr="00251272" w:rsidSect="000D178D">
      <w:headerReference w:type="default" r:id="rId6"/>
      <w:footerReference w:type="default" r:id="rId7"/>
      <w:pgSz w:w="11906" w:h="16838"/>
      <w:pgMar w:top="964" w:right="510" w:bottom="851" w:left="6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3BF4" w14:textId="77777777" w:rsidR="00087817" w:rsidRDefault="00087817" w:rsidP="00861C08">
      <w:pPr>
        <w:spacing w:after="0" w:line="240" w:lineRule="auto"/>
      </w:pPr>
      <w:r>
        <w:separator/>
      </w:r>
    </w:p>
  </w:endnote>
  <w:endnote w:type="continuationSeparator" w:id="0">
    <w:p w14:paraId="247D91A0" w14:textId="77777777" w:rsidR="00087817" w:rsidRDefault="00087817" w:rsidP="0086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532" w14:textId="77777777" w:rsidR="00A63466" w:rsidRDefault="00A63466">
    <w:pPr>
      <w:pStyle w:val="AltBilgi"/>
    </w:pPr>
    <w:r>
      <w:t>02.EK-04</w:t>
    </w:r>
  </w:p>
  <w:p w14:paraId="2F5EE6AF" w14:textId="77777777" w:rsidR="00A63466" w:rsidRDefault="00A63466">
    <w:pPr>
      <w:pStyle w:val="AltBilgi"/>
    </w:pPr>
    <w:r>
      <w:t>R0</w:t>
    </w:r>
    <w:r w:rsidR="00386C35">
      <w:t>1</w:t>
    </w:r>
    <w:r>
      <w:t>/</w:t>
    </w:r>
    <w:r w:rsidR="00386C35">
      <w:t>14.03.2022</w:t>
    </w:r>
    <w:r w:rsidR="00386C35">
      <w:tab/>
    </w:r>
    <w:r w:rsidR="00386C35">
      <w:tab/>
    </w:r>
    <w:r w:rsidR="00386C35">
      <w:tab/>
    </w:r>
    <w:r w:rsidR="00A37752">
      <w:t xml:space="preserve">Sayfa </w: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begin"/>
    </w:r>
    <w:r w:rsidR="00A37752" w:rsidRPr="00A37752">
      <w:rPr>
        <w:rStyle w:val="SayfaNumaras"/>
        <w:rFonts w:ascii="Tahoma" w:hAnsi="Tahoma" w:cs="Tahoma"/>
        <w:sz w:val="18"/>
        <w:szCs w:val="18"/>
      </w:rPr>
      <w:instrText xml:space="preserve"> PAGE </w:instrTex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separate"/>
    </w:r>
    <w:r w:rsidR="008A406A">
      <w:rPr>
        <w:rStyle w:val="SayfaNumaras"/>
        <w:rFonts w:ascii="Tahoma" w:hAnsi="Tahoma" w:cs="Tahoma"/>
        <w:noProof/>
        <w:sz w:val="18"/>
        <w:szCs w:val="18"/>
      </w:rPr>
      <w:t>1</w: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end"/>
    </w:r>
    <w:r w:rsidR="00A37752" w:rsidRPr="00A37752">
      <w:rPr>
        <w:rStyle w:val="SayfaNumaras"/>
        <w:rFonts w:ascii="Tahoma" w:hAnsi="Tahoma" w:cs="Tahoma"/>
        <w:sz w:val="18"/>
        <w:szCs w:val="18"/>
      </w:rPr>
      <w:t>/</w: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begin"/>
    </w:r>
    <w:r w:rsidR="00A37752" w:rsidRPr="00A37752">
      <w:rPr>
        <w:rStyle w:val="SayfaNumaras"/>
        <w:rFonts w:ascii="Tahoma" w:hAnsi="Tahoma" w:cs="Tahoma"/>
        <w:sz w:val="18"/>
        <w:szCs w:val="18"/>
      </w:rPr>
      <w:instrText xml:space="preserve"> NUMPAGES </w:instrTex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separate"/>
    </w:r>
    <w:r w:rsidR="008A406A">
      <w:rPr>
        <w:rStyle w:val="SayfaNumaras"/>
        <w:rFonts w:ascii="Tahoma" w:hAnsi="Tahoma" w:cs="Tahoma"/>
        <w:noProof/>
        <w:sz w:val="18"/>
        <w:szCs w:val="18"/>
      </w:rPr>
      <w:t>2</w:t>
    </w:r>
    <w:r w:rsidR="00A37752" w:rsidRPr="00A37752">
      <w:rPr>
        <w:rStyle w:val="SayfaNumaras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8D75" w14:textId="77777777" w:rsidR="00087817" w:rsidRDefault="00087817" w:rsidP="00861C08">
      <w:pPr>
        <w:spacing w:after="0" w:line="240" w:lineRule="auto"/>
      </w:pPr>
      <w:r>
        <w:separator/>
      </w:r>
    </w:p>
  </w:footnote>
  <w:footnote w:type="continuationSeparator" w:id="0">
    <w:p w14:paraId="23C055D1" w14:textId="77777777" w:rsidR="00087817" w:rsidRDefault="00087817" w:rsidP="0086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B990" w14:textId="77777777" w:rsidR="00A63466" w:rsidRDefault="00A63466" w:rsidP="00861C08">
    <w:pPr>
      <w:pStyle w:val="stBilgi"/>
      <w:jc w:val="center"/>
      <w:rPr>
        <w:rStyle w:val="Gl"/>
        <w:rFonts w:ascii="Tahoma" w:hAnsi="Tahoma" w:cs="Tahoma"/>
      </w:rPr>
    </w:pPr>
    <w:r>
      <w:rPr>
        <w:rStyle w:val="Gl"/>
        <w:rFonts w:ascii="Tahoma" w:hAnsi="Tahoma" w:cs="Tahoma"/>
      </w:rPr>
      <w:t>GİRESUN GIDA KONTROL LABORATUVAR MÜDÜRLÜĞÜ</w:t>
    </w:r>
  </w:p>
  <w:p w14:paraId="691FBC07" w14:textId="77777777" w:rsidR="00861C08" w:rsidRPr="00DA1D7D" w:rsidRDefault="00861C08" w:rsidP="00861C08">
    <w:pPr>
      <w:pStyle w:val="stBilgi"/>
      <w:jc w:val="center"/>
      <w:rPr>
        <w:rStyle w:val="Gl"/>
        <w:rFonts w:ascii="Tahoma" w:hAnsi="Tahoma" w:cs="Tahoma"/>
      </w:rPr>
    </w:pPr>
    <w:r w:rsidRPr="00DA1D7D">
      <w:rPr>
        <w:rStyle w:val="Gl"/>
        <w:rFonts w:ascii="Tahoma" w:hAnsi="Tahoma" w:cs="Tahoma"/>
      </w:rPr>
      <w:t>MÜŞTERİYE HİZMET STANDARTLARI</w:t>
    </w:r>
    <w:r w:rsidR="00A63466">
      <w:rPr>
        <w:rStyle w:val="Gl"/>
        <w:rFonts w:ascii="Tahoma" w:hAnsi="Tahoma" w:cs="Tahoma"/>
      </w:rPr>
      <w:t xml:space="preserve"> TABLOSU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E8"/>
    <w:rsid w:val="00035A00"/>
    <w:rsid w:val="00087817"/>
    <w:rsid w:val="000965DA"/>
    <w:rsid w:val="00096D34"/>
    <w:rsid w:val="000D178D"/>
    <w:rsid w:val="001323E2"/>
    <w:rsid w:val="001323FE"/>
    <w:rsid w:val="00143E48"/>
    <w:rsid w:val="001526E0"/>
    <w:rsid w:val="001645AC"/>
    <w:rsid w:val="001773D1"/>
    <w:rsid w:val="001A2A1C"/>
    <w:rsid w:val="001C0B5E"/>
    <w:rsid w:val="002025B6"/>
    <w:rsid w:val="00241C2A"/>
    <w:rsid w:val="002467D5"/>
    <w:rsid w:val="00251272"/>
    <w:rsid w:val="002907F4"/>
    <w:rsid w:val="002952DC"/>
    <w:rsid w:val="002A21FF"/>
    <w:rsid w:val="002E152F"/>
    <w:rsid w:val="002F2E2F"/>
    <w:rsid w:val="00323E28"/>
    <w:rsid w:val="003243A8"/>
    <w:rsid w:val="00336D5D"/>
    <w:rsid w:val="003675E8"/>
    <w:rsid w:val="00386C35"/>
    <w:rsid w:val="00391304"/>
    <w:rsid w:val="003B4A6D"/>
    <w:rsid w:val="003E127B"/>
    <w:rsid w:val="003F4BEB"/>
    <w:rsid w:val="00423C67"/>
    <w:rsid w:val="00445DED"/>
    <w:rsid w:val="004A1B8A"/>
    <w:rsid w:val="00515F35"/>
    <w:rsid w:val="005E13F6"/>
    <w:rsid w:val="00602AA1"/>
    <w:rsid w:val="006034AE"/>
    <w:rsid w:val="00610018"/>
    <w:rsid w:val="00616D33"/>
    <w:rsid w:val="00675AC8"/>
    <w:rsid w:val="006848DA"/>
    <w:rsid w:val="00695290"/>
    <w:rsid w:val="00712164"/>
    <w:rsid w:val="00732AE7"/>
    <w:rsid w:val="007360DA"/>
    <w:rsid w:val="007941C0"/>
    <w:rsid w:val="007A6C02"/>
    <w:rsid w:val="007F6A4D"/>
    <w:rsid w:val="00803DC0"/>
    <w:rsid w:val="00855D8E"/>
    <w:rsid w:val="00861C08"/>
    <w:rsid w:val="008A406A"/>
    <w:rsid w:val="008C50C2"/>
    <w:rsid w:val="008C70BD"/>
    <w:rsid w:val="008F1BA8"/>
    <w:rsid w:val="00900CDA"/>
    <w:rsid w:val="00912DF5"/>
    <w:rsid w:val="0091560E"/>
    <w:rsid w:val="00922BF7"/>
    <w:rsid w:val="00936425"/>
    <w:rsid w:val="009405BB"/>
    <w:rsid w:val="0098783E"/>
    <w:rsid w:val="009B10F6"/>
    <w:rsid w:val="009E373D"/>
    <w:rsid w:val="00A15D23"/>
    <w:rsid w:val="00A37752"/>
    <w:rsid w:val="00A377E9"/>
    <w:rsid w:val="00A63466"/>
    <w:rsid w:val="00A845BB"/>
    <w:rsid w:val="00AF18EE"/>
    <w:rsid w:val="00B04A59"/>
    <w:rsid w:val="00B10A4D"/>
    <w:rsid w:val="00B36D55"/>
    <w:rsid w:val="00B57267"/>
    <w:rsid w:val="00BA19B0"/>
    <w:rsid w:val="00C516AE"/>
    <w:rsid w:val="00C86877"/>
    <w:rsid w:val="00D0510A"/>
    <w:rsid w:val="00D11391"/>
    <w:rsid w:val="00D354EC"/>
    <w:rsid w:val="00D426DF"/>
    <w:rsid w:val="00DA1D7D"/>
    <w:rsid w:val="00E3101B"/>
    <w:rsid w:val="00E366FF"/>
    <w:rsid w:val="00E420EB"/>
    <w:rsid w:val="00E54368"/>
    <w:rsid w:val="00EB100F"/>
    <w:rsid w:val="00F10CAE"/>
    <w:rsid w:val="00F1626C"/>
    <w:rsid w:val="00F2665F"/>
    <w:rsid w:val="00F72970"/>
    <w:rsid w:val="00F8193A"/>
    <w:rsid w:val="00F970DB"/>
    <w:rsid w:val="00FB51B5"/>
    <w:rsid w:val="00FC2C8F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CA19"/>
  <w15:docId w15:val="{2F605545-04A0-4D26-9DE1-690AD22E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1C2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6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C08"/>
  </w:style>
  <w:style w:type="paragraph" w:styleId="AltBilgi">
    <w:name w:val="footer"/>
    <w:basedOn w:val="Normal"/>
    <w:link w:val="AltBilgiChar"/>
    <w:uiPriority w:val="99"/>
    <w:unhideWhenUsed/>
    <w:rsid w:val="0086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C08"/>
  </w:style>
  <w:style w:type="character" w:styleId="SayfaNumaras">
    <w:name w:val="page number"/>
    <w:basedOn w:val="VarsaylanParagrafYazTipi"/>
    <w:rsid w:val="00A3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08F45C749CA946BC579DF7B179B0C0" ma:contentTypeVersion="1" ma:contentTypeDescription="Yeni belge oluşturun." ma:contentTypeScope="" ma:versionID="f77997faa06632d38df95dd3c6832c5f">
  <xsd:schema xmlns:xsd="http://www.w3.org/2001/XMLSchema" xmlns:xs="http://www.w3.org/2001/XMLSchema" xmlns:p="http://schemas.microsoft.com/office/2006/metadata/properties" xmlns:ns1="http://schemas.microsoft.com/sharepoint/v3" xmlns:ns2="421735f5-aab0-4ef3-b9a6-63a74773d37a" targetNamespace="http://schemas.microsoft.com/office/2006/metadata/properties" ma:root="true" ma:fieldsID="1d089d16458a9fa4e532f33ee7337af2" ns1:_="" ns2:_="">
    <xsd:import namespace="http://schemas.microsoft.com/sharepoint/v3"/>
    <xsd:import namespace="421735f5-aab0-4ef3-b9a6-63a74773d3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35f5-aab0-4ef3-b9a6-63a74773d37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421735f5-aab0-4ef3-b9a6-63a74773d37a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2D908C-4EFD-4CB1-B833-534EFD7483E6}"/>
</file>

<file path=customXml/itemProps2.xml><?xml version="1.0" encoding="utf-8"?>
<ds:datastoreItem xmlns:ds="http://schemas.openxmlformats.org/officeDocument/2006/customXml" ds:itemID="{51060391-6E41-4990-BC8B-91600375F03E}"/>
</file>

<file path=customXml/itemProps3.xml><?xml version="1.0" encoding="utf-8"?>
<ds:datastoreItem xmlns:ds="http://schemas.openxmlformats.org/officeDocument/2006/customXml" ds:itemID="{F216FCC4-5A38-42E8-A321-42AEB37E0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KYB-PC</dc:creator>
  <cp:keywords/>
  <dc:description/>
  <cp:lastModifiedBy>Nuri FİDAN</cp:lastModifiedBy>
  <cp:revision>7</cp:revision>
  <cp:lastPrinted>2022-03-14T11:50:00Z</cp:lastPrinted>
  <dcterms:created xsi:type="dcterms:W3CDTF">2025-12-25T12:41:00Z</dcterms:created>
  <dcterms:modified xsi:type="dcterms:W3CDTF">2025-12-25T12:45:00Z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0x0101006608F45C749CA946BC579DF7B179B0C0</vt:lpwstr>
  </property>
</Properties>
</file>